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6EB9C512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r w:rsidR="00F51607" w:rsidRPr="00F51607">
              <w:rPr>
                <w:rFonts w:asciiTheme="minorHAnsi" w:hAnsiTheme="minorHAnsi" w:cstheme="minorHAnsi"/>
                <w:sz w:val="22"/>
                <w:szCs w:val="22"/>
              </w:rPr>
              <w:t xml:space="preserve">Design and </w:t>
            </w:r>
            <w:proofErr w:type="gramStart"/>
            <w:r w:rsidR="00F51607" w:rsidRPr="00F51607">
              <w:rPr>
                <w:rFonts w:asciiTheme="minorHAnsi" w:hAnsiTheme="minorHAnsi" w:cstheme="minorHAnsi"/>
                <w:sz w:val="22"/>
                <w:szCs w:val="22"/>
              </w:rPr>
              <w:t>Build</w:t>
            </w:r>
            <w:proofErr w:type="gramEnd"/>
            <w:r w:rsidR="00F51607" w:rsidRPr="00F51607">
              <w:rPr>
                <w:rFonts w:asciiTheme="minorHAnsi" w:hAnsiTheme="minorHAnsi" w:cstheme="minorHAnsi"/>
                <w:sz w:val="22"/>
                <w:szCs w:val="22"/>
              </w:rPr>
              <w:t xml:space="preserve"> of 36nr Units at Mill Lane, Leixlip. Co. Kildare 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>, the amount of the performance bond to be not more than</w:t>
      </w:r>
      <w:r w:rsidR="00CB0288">
        <w:rPr>
          <w:rFonts w:asciiTheme="minorHAnsi" w:hAnsiTheme="minorHAnsi" w:cstheme="minorHAnsi"/>
          <w:sz w:val="22"/>
          <w:szCs w:val="22"/>
        </w:rPr>
        <w:t>[●]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683857">
    <w:abstractNumId w:val="0"/>
  </w:num>
  <w:num w:numId="2" w16cid:durableId="1825008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4863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1607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2026-02-24T14:37:00Z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